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E9C" w:rsidRPr="009A472E" w:rsidRDefault="00432E9C" w:rsidP="00D83E25">
      <w:pPr>
        <w:pStyle w:val="2"/>
        <w:adjustRightInd w:val="0"/>
        <w:spacing w:line="240" w:lineRule="auto"/>
        <w:ind w:left="539"/>
        <w:jc w:val="center"/>
        <w:rPr>
          <w:rFonts w:ascii="Times New Roman" w:hAnsi="Times New Roman"/>
          <w:b/>
          <w:bCs/>
          <w:kern w:val="0"/>
          <w:sz w:val="32"/>
          <w:szCs w:val="32"/>
        </w:rPr>
      </w:pPr>
      <w:r w:rsidRPr="009A472E">
        <w:rPr>
          <w:rFonts w:ascii="Times New Roman" w:hAnsi="Times New Roman"/>
          <w:b/>
          <w:bCs/>
          <w:kern w:val="0"/>
          <w:sz w:val="32"/>
          <w:szCs w:val="32"/>
        </w:rPr>
        <w:t>預防及延緩失能照護</w:t>
      </w:r>
      <w:r w:rsidR="00611D8E" w:rsidRPr="009A472E">
        <w:rPr>
          <w:rFonts w:ascii="Times New Roman" w:hAnsi="Times New Roman"/>
          <w:b/>
          <w:bCs/>
          <w:kern w:val="0"/>
          <w:sz w:val="32"/>
          <w:szCs w:val="32"/>
        </w:rPr>
        <w:t>計畫特約單位申請</w:t>
      </w:r>
      <w:r w:rsidR="00D27D9D" w:rsidRPr="009A472E">
        <w:rPr>
          <w:rFonts w:ascii="Times New Roman" w:hAnsi="Times New Roman"/>
          <w:b/>
          <w:bCs/>
          <w:kern w:val="0"/>
          <w:sz w:val="32"/>
          <w:szCs w:val="32"/>
        </w:rPr>
        <w:t>說明</w:t>
      </w:r>
    </w:p>
    <w:p w:rsidR="009A472E" w:rsidRPr="00E4592F" w:rsidRDefault="009A472E" w:rsidP="00D83E25">
      <w:pPr>
        <w:pStyle w:val="2"/>
        <w:numPr>
          <w:ilvl w:val="0"/>
          <w:numId w:val="7"/>
        </w:numPr>
        <w:adjustRightInd w:val="0"/>
        <w:spacing w:line="240" w:lineRule="auto"/>
        <w:ind w:left="709"/>
        <w:rPr>
          <w:rFonts w:ascii="Times New Roman" w:hAnsi="Times New Roman"/>
          <w:b/>
          <w:bCs/>
          <w:kern w:val="0"/>
          <w:szCs w:val="32"/>
        </w:rPr>
      </w:pPr>
      <w:r w:rsidRPr="00E4592F">
        <w:rPr>
          <w:rFonts w:ascii="Times New Roman" w:hAnsi="Times New Roman" w:hint="eastAsia"/>
          <w:b/>
          <w:bCs/>
          <w:kern w:val="0"/>
          <w:szCs w:val="32"/>
        </w:rPr>
        <w:t>計畫簡介</w:t>
      </w:r>
    </w:p>
    <w:p w:rsidR="009A472E" w:rsidRPr="009A472E" w:rsidRDefault="009A472E" w:rsidP="00B32819">
      <w:pPr>
        <w:pStyle w:val="2"/>
        <w:adjustRightInd w:val="0"/>
        <w:spacing w:line="240" w:lineRule="auto"/>
        <w:ind w:left="0" w:rightChars="-10" w:right="-24" w:firstLineChars="200" w:firstLine="480"/>
        <w:rPr>
          <w:rFonts w:ascii="Times New Roman" w:hAnsi="Times New Roman"/>
          <w:bCs/>
          <w:kern w:val="0"/>
          <w:sz w:val="24"/>
          <w:szCs w:val="32"/>
        </w:rPr>
      </w:pPr>
      <w:r w:rsidRPr="009A472E">
        <w:rPr>
          <w:rFonts w:ascii="Times New Roman" w:hAnsi="Times New Roman" w:hint="eastAsia"/>
          <w:bCs/>
          <w:kern w:val="0"/>
          <w:sz w:val="24"/>
          <w:szCs w:val="32"/>
        </w:rPr>
        <w:t>將肌力強化運動、生活功能重建訓練、社會參與、口腔保健、膳食營養及認知促進等實證應用方案導入社區</w:t>
      </w:r>
      <w:r w:rsidR="0004538C">
        <w:rPr>
          <w:rFonts w:ascii="Times New Roman" w:hAnsi="Times New Roman" w:hint="eastAsia"/>
          <w:bCs/>
          <w:kern w:val="0"/>
          <w:sz w:val="24"/>
          <w:szCs w:val="32"/>
        </w:rPr>
        <w:t>據點健康促進之課程</w:t>
      </w:r>
      <w:r w:rsidRPr="009A472E">
        <w:rPr>
          <w:rFonts w:ascii="Times New Roman" w:hAnsi="Times New Roman" w:hint="eastAsia"/>
          <w:bCs/>
          <w:kern w:val="0"/>
          <w:sz w:val="24"/>
          <w:szCs w:val="32"/>
        </w:rPr>
        <w:t>，藉以預防及延緩長者失能。</w:t>
      </w:r>
    </w:p>
    <w:p w:rsidR="00611D8E" w:rsidRPr="00E4592F" w:rsidRDefault="00611D8E" w:rsidP="00D83E25">
      <w:pPr>
        <w:pStyle w:val="2"/>
        <w:numPr>
          <w:ilvl w:val="0"/>
          <w:numId w:val="7"/>
        </w:numPr>
        <w:adjustRightInd w:val="0"/>
        <w:spacing w:line="240" w:lineRule="auto"/>
        <w:ind w:left="709"/>
        <w:rPr>
          <w:rFonts w:ascii="Times New Roman" w:hAnsi="Times New Roman"/>
          <w:b/>
          <w:bCs/>
          <w:kern w:val="0"/>
          <w:szCs w:val="32"/>
        </w:rPr>
      </w:pPr>
      <w:r w:rsidRPr="00E4592F">
        <w:rPr>
          <w:rFonts w:ascii="Times New Roman" w:hAnsi="Times New Roman"/>
          <w:b/>
          <w:bCs/>
          <w:kern w:val="0"/>
          <w:szCs w:val="32"/>
        </w:rPr>
        <w:t>服務項目及支付標準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29"/>
        <w:gridCol w:w="1701"/>
        <w:gridCol w:w="1560"/>
        <w:gridCol w:w="3033"/>
        <w:gridCol w:w="3033"/>
      </w:tblGrid>
      <w:tr w:rsidR="00E4592F" w:rsidRPr="009A472E" w:rsidTr="00E4592F">
        <w:trPr>
          <w:trHeight w:val="71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E9C" w:rsidRPr="009A472E" w:rsidRDefault="00432E9C" w:rsidP="00D83E25">
            <w:pPr>
              <w:widowControl/>
              <w:adjustRightInd w:val="0"/>
              <w:snapToGrid w:val="0"/>
              <w:ind w:left="-11"/>
              <w:rPr>
                <w:rFonts w:eastAsia="標楷體"/>
                <w:b/>
                <w:kern w:val="0"/>
              </w:rPr>
            </w:pPr>
            <w:r w:rsidRPr="009A472E">
              <w:rPr>
                <w:rFonts w:eastAsia="標楷體"/>
                <w:b/>
                <w:kern w:val="0"/>
              </w:rPr>
              <w:t>服務對象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E9C" w:rsidRPr="00E4592F" w:rsidRDefault="00432E9C" w:rsidP="00D83E25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E4592F">
              <w:rPr>
                <w:rFonts w:eastAsia="標楷體"/>
              </w:rPr>
              <w:t>每單位</w:t>
            </w:r>
            <w:r w:rsidRPr="00E4592F">
              <w:rPr>
                <w:rFonts w:eastAsia="標楷體"/>
              </w:rPr>
              <w:t>(</w:t>
            </w:r>
            <w:r w:rsidRPr="00E4592F">
              <w:rPr>
                <w:rFonts w:eastAsia="標楷體"/>
              </w:rPr>
              <w:t>期</w:t>
            </w:r>
            <w:r w:rsidRPr="00E4592F">
              <w:rPr>
                <w:rFonts w:eastAsia="標楷體"/>
              </w:rPr>
              <w:t>)</w:t>
            </w:r>
            <w:r w:rsidRPr="00E4592F">
              <w:rPr>
                <w:rFonts w:eastAsia="標楷體"/>
              </w:rPr>
              <w:br/>
            </w:r>
            <w:r w:rsidRPr="00E4592F">
              <w:rPr>
                <w:rFonts w:eastAsia="標楷體"/>
              </w:rPr>
              <w:t>人數範圍</w:t>
            </w:r>
            <w:r w:rsidRPr="00E4592F">
              <w:rPr>
                <w:rFonts w:eastAsia="標楷體"/>
              </w:rPr>
              <w:t xml:space="preserve"> (</w:t>
            </w:r>
            <w:r w:rsidRPr="00E4592F">
              <w:rPr>
                <w:rFonts w:eastAsia="標楷體"/>
              </w:rPr>
              <w:t>人</w:t>
            </w:r>
            <w:r w:rsidRPr="00E4592F">
              <w:rPr>
                <w:rFonts w:eastAsia="標楷體"/>
              </w:rPr>
              <w:t>)</w:t>
            </w:r>
            <w:r w:rsidRPr="00E4592F">
              <w:rPr>
                <w:rFonts w:eastAsia="標楷體"/>
              </w:rPr>
              <w:br/>
              <w:t>(</w:t>
            </w:r>
            <w:r w:rsidRPr="00E4592F">
              <w:rPr>
                <w:rFonts w:eastAsia="標楷體"/>
              </w:rPr>
              <w:t>出席率</w:t>
            </w:r>
            <w:r w:rsidRPr="00E4592F">
              <w:rPr>
                <w:rFonts w:ascii="新細明體" w:hAnsi="新細明體" w:cs="新細明體" w:hint="eastAsia"/>
              </w:rPr>
              <w:t>≧</w:t>
            </w:r>
            <w:r w:rsidRPr="00E4592F">
              <w:rPr>
                <w:rFonts w:eastAsia="標楷體"/>
              </w:rPr>
              <w:t>90%)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E9C" w:rsidRPr="00E4592F" w:rsidRDefault="00432E9C" w:rsidP="00D83E25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E4592F">
              <w:rPr>
                <w:rFonts w:eastAsia="標楷體"/>
              </w:rPr>
              <w:t>每次支付額度</w:t>
            </w:r>
            <w:r w:rsidRPr="00E4592F">
              <w:rPr>
                <w:rFonts w:eastAsia="標楷體"/>
              </w:rPr>
              <w:br/>
              <w:t>(</w:t>
            </w:r>
            <w:r w:rsidRPr="00E4592F">
              <w:rPr>
                <w:rFonts w:eastAsia="標楷體"/>
              </w:rPr>
              <w:t>元</w:t>
            </w:r>
            <w:r w:rsidRPr="00E4592F">
              <w:rPr>
                <w:rFonts w:eastAsia="標楷體"/>
              </w:rPr>
              <w:t>/</w:t>
            </w:r>
            <w:r w:rsidRPr="00E4592F">
              <w:rPr>
                <w:rFonts w:eastAsia="標楷體"/>
              </w:rPr>
              <w:t>次</w:t>
            </w:r>
            <w:r w:rsidRPr="00E4592F">
              <w:rPr>
                <w:rFonts w:eastAsia="標楷體"/>
              </w:rPr>
              <w:t>)</w:t>
            </w:r>
            <w:r w:rsidRPr="00E4592F">
              <w:rPr>
                <w:rFonts w:eastAsia="標楷體"/>
              </w:rPr>
              <w:br/>
              <w:t>(2</w:t>
            </w:r>
            <w:r w:rsidRPr="00E4592F">
              <w:rPr>
                <w:rFonts w:eastAsia="標楷體"/>
              </w:rPr>
              <w:t>小時</w:t>
            </w:r>
            <w:r w:rsidRPr="00E4592F">
              <w:rPr>
                <w:rFonts w:eastAsia="標楷體"/>
              </w:rPr>
              <w:t>/</w:t>
            </w:r>
            <w:r w:rsidRPr="00E4592F">
              <w:rPr>
                <w:rFonts w:eastAsia="標楷體"/>
              </w:rPr>
              <w:t>次</w:t>
            </w:r>
            <w:r w:rsidRPr="00E4592F">
              <w:rPr>
                <w:rFonts w:eastAsia="標楷體"/>
              </w:rPr>
              <w:t>)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E9C" w:rsidRPr="00E4592F" w:rsidRDefault="00432E9C" w:rsidP="00D83E25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E4592F">
              <w:rPr>
                <w:rFonts w:eastAsia="標楷體"/>
              </w:rPr>
              <w:t>每單位</w:t>
            </w:r>
            <w:r w:rsidRPr="00E4592F">
              <w:rPr>
                <w:rFonts w:eastAsia="標楷體"/>
              </w:rPr>
              <w:t>(</w:t>
            </w:r>
            <w:r w:rsidRPr="00E4592F">
              <w:rPr>
                <w:rFonts w:eastAsia="標楷體"/>
              </w:rPr>
              <w:t>期</w:t>
            </w:r>
            <w:r w:rsidRPr="00E4592F">
              <w:rPr>
                <w:rFonts w:eastAsia="標楷體"/>
              </w:rPr>
              <w:t>)</w:t>
            </w:r>
            <w:r w:rsidRPr="00E4592F">
              <w:rPr>
                <w:rFonts w:eastAsia="標楷體"/>
              </w:rPr>
              <w:t>支付額度</w:t>
            </w:r>
            <w:r w:rsidRPr="00E4592F">
              <w:rPr>
                <w:rFonts w:eastAsia="標楷體"/>
              </w:rPr>
              <w:t xml:space="preserve"> (</w:t>
            </w:r>
            <w:r w:rsidRPr="00E4592F">
              <w:rPr>
                <w:rFonts w:eastAsia="標楷體"/>
              </w:rPr>
              <w:t>元</w:t>
            </w:r>
            <w:r w:rsidRPr="00E4592F">
              <w:rPr>
                <w:rFonts w:eastAsia="標楷體"/>
              </w:rPr>
              <w:t>/</w:t>
            </w:r>
            <w:r w:rsidRPr="00E4592F">
              <w:rPr>
                <w:rFonts w:eastAsia="標楷體"/>
              </w:rPr>
              <w:t>期</w:t>
            </w:r>
            <w:r w:rsidRPr="00E4592F">
              <w:rPr>
                <w:rFonts w:eastAsia="標楷體"/>
              </w:rPr>
              <w:t>)</w:t>
            </w:r>
            <w:r w:rsidRPr="00E4592F">
              <w:rPr>
                <w:rFonts w:eastAsia="標楷體"/>
              </w:rPr>
              <w:br/>
            </w:r>
            <w:r w:rsidRPr="00E4592F">
              <w:rPr>
                <w:rFonts w:eastAsia="標楷體"/>
                <w:sz w:val="20"/>
              </w:rPr>
              <w:t>【</w:t>
            </w:r>
            <w:r w:rsidRPr="00E4592F">
              <w:rPr>
                <w:rFonts w:eastAsia="標楷體"/>
                <w:sz w:val="20"/>
              </w:rPr>
              <w:t>2</w:t>
            </w:r>
            <w:r w:rsidRPr="00E4592F">
              <w:rPr>
                <w:rFonts w:eastAsia="標楷體"/>
                <w:sz w:val="20"/>
              </w:rPr>
              <w:t>次</w:t>
            </w:r>
            <w:r w:rsidRPr="00E4592F">
              <w:rPr>
                <w:rFonts w:eastAsia="標楷體"/>
                <w:sz w:val="20"/>
              </w:rPr>
              <w:t>/</w:t>
            </w:r>
            <w:r w:rsidRPr="00E4592F">
              <w:rPr>
                <w:rFonts w:eastAsia="標楷體"/>
                <w:sz w:val="20"/>
              </w:rPr>
              <w:t>週</w:t>
            </w:r>
            <w:r w:rsidRPr="00E4592F">
              <w:rPr>
                <w:rFonts w:eastAsia="標楷體"/>
                <w:sz w:val="20"/>
              </w:rPr>
              <w:t>*12</w:t>
            </w:r>
            <w:r w:rsidRPr="00E4592F">
              <w:rPr>
                <w:rFonts w:eastAsia="標楷體"/>
                <w:sz w:val="20"/>
              </w:rPr>
              <w:t>週</w:t>
            </w:r>
            <w:r w:rsidRPr="00E4592F">
              <w:rPr>
                <w:rFonts w:eastAsia="標楷體"/>
                <w:sz w:val="20"/>
              </w:rPr>
              <w:t>*</w:t>
            </w:r>
            <w:r w:rsidRPr="00E4592F">
              <w:rPr>
                <w:rFonts w:eastAsia="標楷體"/>
                <w:sz w:val="20"/>
              </w:rPr>
              <w:t>每次支付額度】</w:t>
            </w:r>
            <w:r w:rsidRPr="00E4592F">
              <w:rPr>
                <w:rFonts w:eastAsia="標楷體"/>
              </w:rPr>
              <w:br/>
              <w:t>(</w:t>
            </w:r>
            <w:r w:rsidRPr="00E4592F">
              <w:rPr>
                <w:rFonts w:eastAsia="標楷體"/>
              </w:rPr>
              <w:t>每期最多</w:t>
            </w:r>
            <w:r w:rsidRPr="00E4592F">
              <w:rPr>
                <w:rFonts w:eastAsia="標楷體"/>
              </w:rPr>
              <w:t>24</w:t>
            </w:r>
            <w:r w:rsidRPr="00E4592F">
              <w:rPr>
                <w:rFonts w:eastAsia="標楷體"/>
              </w:rPr>
              <w:t>次</w:t>
            </w:r>
            <w:r w:rsidRPr="00E4592F">
              <w:rPr>
                <w:rFonts w:eastAsia="標楷體"/>
              </w:rPr>
              <w:t>)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E9C" w:rsidRPr="00E4592F" w:rsidRDefault="00432E9C" w:rsidP="00D83E25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E4592F">
              <w:rPr>
                <w:rFonts w:eastAsia="標楷體"/>
              </w:rPr>
              <w:t>每年</w:t>
            </w:r>
            <w:r w:rsidRPr="00E4592F">
              <w:rPr>
                <w:rFonts w:eastAsia="標楷體"/>
              </w:rPr>
              <w:t>3</w:t>
            </w:r>
            <w:r w:rsidRPr="00E4592F">
              <w:rPr>
                <w:rFonts w:eastAsia="標楷體"/>
              </w:rPr>
              <w:t>期支付額度</w:t>
            </w:r>
            <w:r w:rsidRPr="00E4592F">
              <w:rPr>
                <w:rFonts w:eastAsia="標楷體"/>
              </w:rPr>
              <w:t xml:space="preserve"> (</w:t>
            </w:r>
            <w:r w:rsidRPr="00E4592F">
              <w:rPr>
                <w:rFonts w:eastAsia="標楷體"/>
              </w:rPr>
              <w:t>元</w:t>
            </w:r>
            <w:r w:rsidRPr="00E4592F">
              <w:rPr>
                <w:rFonts w:eastAsia="標楷體"/>
              </w:rPr>
              <w:t>/</w:t>
            </w:r>
            <w:r w:rsidRPr="00E4592F">
              <w:rPr>
                <w:rFonts w:eastAsia="標楷體"/>
              </w:rPr>
              <w:t>年</w:t>
            </w:r>
            <w:r w:rsidRPr="00E4592F">
              <w:rPr>
                <w:rFonts w:eastAsia="標楷體"/>
              </w:rPr>
              <w:t>)</w:t>
            </w:r>
            <w:r w:rsidRPr="00E4592F">
              <w:rPr>
                <w:rFonts w:eastAsia="標楷體"/>
              </w:rPr>
              <w:br/>
            </w:r>
            <w:r w:rsidRPr="00E4592F">
              <w:rPr>
                <w:rFonts w:eastAsia="標楷體"/>
                <w:sz w:val="18"/>
              </w:rPr>
              <w:t>【</w:t>
            </w:r>
            <w:r w:rsidRPr="00E4592F">
              <w:rPr>
                <w:rFonts w:eastAsia="標楷體"/>
                <w:sz w:val="18"/>
              </w:rPr>
              <w:t>2</w:t>
            </w:r>
            <w:r w:rsidRPr="00E4592F">
              <w:rPr>
                <w:rFonts w:eastAsia="標楷體"/>
                <w:sz w:val="18"/>
              </w:rPr>
              <w:t>次</w:t>
            </w:r>
            <w:r w:rsidRPr="00E4592F">
              <w:rPr>
                <w:rFonts w:eastAsia="標楷體"/>
                <w:sz w:val="18"/>
              </w:rPr>
              <w:t>/</w:t>
            </w:r>
            <w:r w:rsidRPr="00E4592F">
              <w:rPr>
                <w:rFonts w:eastAsia="標楷體"/>
                <w:sz w:val="18"/>
              </w:rPr>
              <w:t>週</w:t>
            </w:r>
            <w:r w:rsidRPr="00E4592F">
              <w:rPr>
                <w:rFonts w:eastAsia="標楷體"/>
                <w:sz w:val="18"/>
              </w:rPr>
              <w:t>*12</w:t>
            </w:r>
            <w:r w:rsidRPr="00E4592F">
              <w:rPr>
                <w:rFonts w:eastAsia="標楷體"/>
                <w:sz w:val="18"/>
              </w:rPr>
              <w:t>週</w:t>
            </w:r>
            <w:r w:rsidRPr="00E4592F">
              <w:rPr>
                <w:rFonts w:eastAsia="標楷體"/>
                <w:sz w:val="18"/>
              </w:rPr>
              <w:t>*3</w:t>
            </w:r>
            <w:r w:rsidRPr="00E4592F">
              <w:rPr>
                <w:rFonts w:eastAsia="標楷體"/>
                <w:sz w:val="18"/>
              </w:rPr>
              <w:t>期</w:t>
            </w:r>
            <w:r w:rsidRPr="00E4592F">
              <w:rPr>
                <w:rFonts w:eastAsia="標楷體"/>
                <w:sz w:val="18"/>
              </w:rPr>
              <w:t>*</w:t>
            </w:r>
            <w:r w:rsidRPr="00E4592F">
              <w:rPr>
                <w:rFonts w:eastAsia="標楷體"/>
                <w:sz w:val="18"/>
              </w:rPr>
              <w:t>每次支付額度】</w:t>
            </w:r>
            <w:r w:rsidRPr="00E4592F">
              <w:rPr>
                <w:rFonts w:eastAsia="標楷體"/>
                <w:sz w:val="18"/>
              </w:rPr>
              <w:br/>
            </w:r>
            <w:r w:rsidRPr="00E4592F">
              <w:rPr>
                <w:rFonts w:eastAsia="標楷體"/>
              </w:rPr>
              <w:t>(1</w:t>
            </w:r>
            <w:r w:rsidRPr="00E4592F">
              <w:rPr>
                <w:rFonts w:eastAsia="標楷體"/>
              </w:rPr>
              <w:t>年以</w:t>
            </w:r>
            <w:r w:rsidRPr="00E4592F">
              <w:rPr>
                <w:rFonts w:eastAsia="標楷體"/>
              </w:rPr>
              <w:t>3</w:t>
            </w:r>
            <w:r w:rsidRPr="00E4592F">
              <w:rPr>
                <w:rFonts w:eastAsia="標楷體"/>
              </w:rPr>
              <w:t>期計算</w:t>
            </w:r>
            <w:r w:rsidRPr="00E4592F">
              <w:rPr>
                <w:rFonts w:eastAsia="標楷體"/>
              </w:rPr>
              <w:t>)</w:t>
            </w:r>
          </w:p>
        </w:tc>
      </w:tr>
      <w:tr w:rsidR="00E4592F" w:rsidRPr="009A472E" w:rsidTr="00E4592F">
        <w:trPr>
          <w:trHeight w:val="7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E9C" w:rsidRPr="009A472E" w:rsidRDefault="00432E9C" w:rsidP="00D83E25">
            <w:pPr>
              <w:widowControl/>
              <w:adjustRightInd w:val="0"/>
              <w:snapToGrid w:val="0"/>
              <w:ind w:left="-32"/>
              <w:jc w:val="center"/>
              <w:rPr>
                <w:rFonts w:eastAsia="標楷體"/>
                <w:b/>
                <w:kern w:val="0"/>
              </w:rPr>
            </w:pPr>
            <w:r w:rsidRPr="009A472E">
              <w:rPr>
                <w:rFonts w:eastAsia="標楷體"/>
                <w:b/>
                <w:kern w:val="0"/>
              </w:rPr>
              <w:t>衰弱老人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E9C" w:rsidRPr="00E4592F" w:rsidRDefault="00432E9C" w:rsidP="00D83E25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E4592F">
              <w:rPr>
                <w:rFonts w:eastAsia="標楷體"/>
              </w:rPr>
              <w:t>20-25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E9C" w:rsidRPr="00E4592F" w:rsidRDefault="00432E9C" w:rsidP="00D83E25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E4592F">
              <w:rPr>
                <w:rFonts w:eastAsia="標楷體"/>
              </w:rPr>
              <w:t>4,200-5,250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E9C" w:rsidRPr="00E4592F" w:rsidRDefault="00432E9C" w:rsidP="00D83E25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E4592F">
              <w:rPr>
                <w:rFonts w:eastAsia="標楷體"/>
              </w:rPr>
              <w:t>100,800-126,000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E9C" w:rsidRPr="00E4592F" w:rsidRDefault="00432E9C" w:rsidP="00D83E25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E4592F">
              <w:rPr>
                <w:rFonts w:eastAsia="標楷體"/>
              </w:rPr>
              <w:t>302,400-378,000</w:t>
            </w:r>
          </w:p>
        </w:tc>
      </w:tr>
      <w:tr w:rsidR="00E4592F" w:rsidRPr="009A472E" w:rsidTr="00E4592F">
        <w:trPr>
          <w:trHeight w:val="7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E9C" w:rsidRPr="009A472E" w:rsidRDefault="00432E9C" w:rsidP="00D83E25">
            <w:pPr>
              <w:widowControl/>
              <w:adjustRightInd w:val="0"/>
              <w:snapToGrid w:val="0"/>
              <w:ind w:left="-32"/>
              <w:jc w:val="center"/>
              <w:rPr>
                <w:rFonts w:eastAsia="標楷體"/>
                <w:b/>
                <w:kern w:val="0"/>
              </w:rPr>
            </w:pPr>
            <w:r w:rsidRPr="009A472E">
              <w:rPr>
                <w:rFonts w:eastAsia="標楷體"/>
                <w:b/>
                <w:kern w:val="0"/>
              </w:rPr>
              <w:t>輕度失能</w:t>
            </w:r>
            <w:r w:rsidRPr="009A472E">
              <w:rPr>
                <w:rFonts w:eastAsia="標楷體"/>
                <w:b/>
                <w:kern w:val="0"/>
              </w:rPr>
              <w:t>(</w:t>
            </w:r>
            <w:r w:rsidRPr="009A472E">
              <w:rPr>
                <w:rFonts w:eastAsia="標楷體"/>
                <w:b/>
                <w:kern w:val="0"/>
              </w:rPr>
              <w:t>智</w:t>
            </w:r>
            <w:r w:rsidRPr="009A472E">
              <w:rPr>
                <w:rFonts w:eastAsia="標楷體"/>
                <w:b/>
                <w:kern w:val="0"/>
              </w:rPr>
              <w:t>)</w:t>
            </w:r>
            <w:r w:rsidRPr="009A472E">
              <w:rPr>
                <w:rFonts w:eastAsia="標楷體"/>
                <w:b/>
                <w:kern w:val="0"/>
              </w:rPr>
              <w:t>老人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E9C" w:rsidRPr="00E4592F" w:rsidRDefault="00432E9C" w:rsidP="00D83E25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E4592F">
              <w:rPr>
                <w:rFonts w:eastAsia="標楷體"/>
              </w:rPr>
              <w:t>10-15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E9C" w:rsidRPr="00E4592F" w:rsidRDefault="00432E9C" w:rsidP="00D83E25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E4592F">
              <w:rPr>
                <w:rFonts w:eastAsia="標楷體"/>
              </w:rPr>
              <w:t>4,200-6,300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E9C" w:rsidRPr="00E4592F" w:rsidRDefault="00432E9C" w:rsidP="00D83E25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E4592F">
              <w:rPr>
                <w:rFonts w:eastAsia="標楷體"/>
              </w:rPr>
              <w:t>100,800-151,200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E9C" w:rsidRPr="00E4592F" w:rsidRDefault="00432E9C" w:rsidP="00D83E25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E4592F">
              <w:rPr>
                <w:rFonts w:eastAsia="標楷體"/>
              </w:rPr>
              <w:t>302,400-453,600</w:t>
            </w:r>
          </w:p>
        </w:tc>
      </w:tr>
      <w:tr w:rsidR="00E4592F" w:rsidRPr="009A472E" w:rsidTr="00E4592F">
        <w:trPr>
          <w:trHeight w:val="7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E9C" w:rsidRPr="009A472E" w:rsidRDefault="00432E9C" w:rsidP="00D83E25">
            <w:pPr>
              <w:widowControl/>
              <w:adjustRightInd w:val="0"/>
              <w:snapToGrid w:val="0"/>
              <w:ind w:left="-32"/>
              <w:jc w:val="center"/>
              <w:rPr>
                <w:rFonts w:eastAsia="標楷體"/>
                <w:b/>
                <w:kern w:val="0"/>
              </w:rPr>
            </w:pPr>
            <w:r w:rsidRPr="009A472E">
              <w:rPr>
                <w:rFonts w:eastAsia="標楷體"/>
                <w:b/>
                <w:kern w:val="0"/>
              </w:rPr>
              <w:t>中度失能</w:t>
            </w:r>
            <w:r w:rsidRPr="009A472E">
              <w:rPr>
                <w:rFonts w:eastAsia="標楷體"/>
                <w:b/>
                <w:kern w:val="0"/>
              </w:rPr>
              <w:t>(</w:t>
            </w:r>
            <w:r w:rsidRPr="009A472E">
              <w:rPr>
                <w:rFonts w:eastAsia="標楷體"/>
                <w:b/>
                <w:kern w:val="0"/>
              </w:rPr>
              <w:t>智</w:t>
            </w:r>
            <w:r w:rsidRPr="009A472E">
              <w:rPr>
                <w:rFonts w:eastAsia="標楷體"/>
                <w:b/>
                <w:kern w:val="0"/>
              </w:rPr>
              <w:t>)</w:t>
            </w:r>
            <w:r w:rsidRPr="009A472E">
              <w:rPr>
                <w:rFonts w:eastAsia="標楷體"/>
                <w:b/>
                <w:kern w:val="0"/>
              </w:rPr>
              <w:t>老人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E9C" w:rsidRPr="00E4592F" w:rsidRDefault="00432E9C" w:rsidP="00D83E25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E4592F">
              <w:rPr>
                <w:rFonts w:eastAsia="標楷體"/>
              </w:rPr>
              <w:t>5-10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E9C" w:rsidRPr="00E4592F" w:rsidRDefault="00432E9C" w:rsidP="00D83E25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E4592F">
              <w:rPr>
                <w:rFonts w:eastAsia="標楷體"/>
              </w:rPr>
              <w:t>4,200-8,400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E9C" w:rsidRPr="00E4592F" w:rsidRDefault="00432E9C" w:rsidP="00D83E25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E4592F">
              <w:rPr>
                <w:rFonts w:eastAsia="標楷體"/>
              </w:rPr>
              <w:t>100,800-201,600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E9C" w:rsidRPr="00E4592F" w:rsidRDefault="00432E9C" w:rsidP="00D83E25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E4592F">
              <w:rPr>
                <w:rFonts w:eastAsia="標楷體"/>
              </w:rPr>
              <w:t>302,400-604,800</w:t>
            </w:r>
          </w:p>
        </w:tc>
      </w:tr>
    </w:tbl>
    <w:p w:rsidR="002B003C" w:rsidRPr="004F6506" w:rsidRDefault="0004538C" w:rsidP="00D83E25">
      <w:pPr>
        <w:widowControl/>
        <w:numPr>
          <w:ilvl w:val="0"/>
          <w:numId w:val="1"/>
        </w:numPr>
        <w:adjustRightInd w:val="0"/>
        <w:snapToGrid w:val="0"/>
        <w:ind w:left="709" w:hanging="709"/>
        <w:jc w:val="both"/>
        <w:rPr>
          <w:rFonts w:eastAsia="標楷體"/>
          <w:kern w:val="0"/>
        </w:rPr>
      </w:pPr>
      <w:r w:rsidRPr="004F6506">
        <w:rPr>
          <w:rFonts w:eastAsia="標楷體" w:hint="eastAsia"/>
          <w:kern w:val="0"/>
        </w:rPr>
        <w:t>服務內容及</w:t>
      </w:r>
      <w:r w:rsidR="002B003C" w:rsidRPr="004F6506">
        <w:rPr>
          <w:rFonts w:eastAsia="標楷體"/>
          <w:kern w:val="0"/>
        </w:rPr>
        <w:t>支付標準：</w:t>
      </w:r>
    </w:p>
    <w:p w:rsidR="002B003C" w:rsidRPr="009A472E" w:rsidRDefault="002B003C" w:rsidP="00D83E25">
      <w:pPr>
        <w:widowControl/>
        <w:numPr>
          <w:ilvl w:val="0"/>
          <w:numId w:val="3"/>
        </w:numPr>
        <w:adjustRightInd w:val="0"/>
        <w:snapToGrid w:val="0"/>
        <w:ind w:left="709"/>
        <w:rPr>
          <w:rFonts w:eastAsia="標楷體"/>
          <w:kern w:val="0"/>
        </w:rPr>
      </w:pPr>
      <w:r w:rsidRPr="009A472E">
        <w:rPr>
          <w:rFonts w:eastAsia="標楷體"/>
          <w:kern w:val="0"/>
        </w:rPr>
        <w:t>每單位</w:t>
      </w:r>
      <w:r w:rsidRPr="009A472E">
        <w:rPr>
          <w:rFonts w:eastAsia="標楷體"/>
          <w:kern w:val="0"/>
        </w:rPr>
        <w:t>(</w:t>
      </w:r>
      <w:r w:rsidRPr="009A472E">
        <w:rPr>
          <w:rFonts w:eastAsia="標楷體"/>
          <w:kern w:val="0"/>
        </w:rPr>
        <w:t>期</w:t>
      </w:r>
      <w:r w:rsidRPr="009A472E">
        <w:rPr>
          <w:rFonts w:eastAsia="標楷體"/>
          <w:kern w:val="0"/>
        </w:rPr>
        <w:t>)</w:t>
      </w:r>
      <w:r w:rsidRPr="009A472E">
        <w:rPr>
          <w:rFonts w:eastAsia="標楷體"/>
          <w:kern w:val="0"/>
        </w:rPr>
        <w:t>：為</w:t>
      </w:r>
      <w:r w:rsidRPr="009A472E">
        <w:rPr>
          <w:rFonts w:eastAsia="標楷體"/>
          <w:kern w:val="0"/>
        </w:rPr>
        <w:t>12</w:t>
      </w:r>
      <w:r w:rsidRPr="009A472E">
        <w:rPr>
          <w:rFonts w:eastAsia="標楷體"/>
          <w:kern w:val="0"/>
        </w:rPr>
        <w:t>週，每週服務</w:t>
      </w:r>
      <w:r w:rsidRPr="009A472E">
        <w:rPr>
          <w:rFonts w:eastAsia="標楷體"/>
          <w:kern w:val="0"/>
        </w:rPr>
        <w:t>1-2</w:t>
      </w:r>
      <w:r w:rsidRPr="009A472E">
        <w:rPr>
          <w:rFonts w:eastAsia="標楷體"/>
          <w:kern w:val="0"/>
        </w:rPr>
        <w:t>次，每次</w:t>
      </w:r>
      <w:r w:rsidRPr="009A472E">
        <w:rPr>
          <w:rFonts w:eastAsia="標楷體"/>
          <w:kern w:val="0"/>
        </w:rPr>
        <w:t>2</w:t>
      </w:r>
      <w:r w:rsidRPr="009A472E">
        <w:rPr>
          <w:rFonts w:eastAsia="標楷體"/>
          <w:kern w:val="0"/>
        </w:rPr>
        <w:t>小時。</w:t>
      </w:r>
    </w:p>
    <w:p w:rsidR="002B003C" w:rsidRPr="009A472E" w:rsidRDefault="002B003C" w:rsidP="00D83E25">
      <w:pPr>
        <w:widowControl/>
        <w:numPr>
          <w:ilvl w:val="0"/>
          <w:numId w:val="3"/>
        </w:numPr>
        <w:adjustRightInd w:val="0"/>
        <w:snapToGrid w:val="0"/>
        <w:ind w:left="709"/>
        <w:rPr>
          <w:rFonts w:eastAsia="標楷體"/>
          <w:kern w:val="0"/>
        </w:rPr>
      </w:pPr>
      <w:r w:rsidRPr="009A472E">
        <w:rPr>
          <w:rFonts w:eastAsia="標楷體"/>
          <w:kern w:val="0"/>
        </w:rPr>
        <w:t>服務對象及項目：健康</w:t>
      </w:r>
      <w:r w:rsidRPr="009A472E">
        <w:rPr>
          <w:rFonts w:eastAsia="標楷體"/>
          <w:kern w:val="0"/>
        </w:rPr>
        <w:t>/</w:t>
      </w:r>
      <w:r w:rsidRPr="009A472E">
        <w:rPr>
          <w:rFonts w:eastAsia="標楷體"/>
          <w:kern w:val="0"/>
        </w:rPr>
        <w:t>亞健康、衰弱期</w:t>
      </w:r>
      <w:r w:rsidRPr="009A472E">
        <w:rPr>
          <w:rFonts w:eastAsia="標楷體"/>
          <w:kern w:val="0"/>
        </w:rPr>
        <w:t>(SOF2</w:t>
      </w:r>
      <w:r w:rsidRPr="009A472E">
        <w:rPr>
          <w:rFonts w:eastAsia="標楷體"/>
          <w:kern w:val="0"/>
        </w:rPr>
        <w:t>分</w:t>
      </w:r>
      <w:r w:rsidRPr="009A472E">
        <w:rPr>
          <w:rFonts w:eastAsia="標楷體"/>
          <w:kern w:val="0"/>
        </w:rPr>
        <w:t>+IADL1</w:t>
      </w:r>
      <w:r w:rsidRPr="009A472E">
        <w:rPr>
          <w:rFonts w:eastAsia="標楷體"/>
          <w:kern w:val="0"/>
        </w:rPr>
        <w:t>項</w:t>
      </w:r>
      <w:r w:rsidRPr="009A472E">
        <w:rPr>
          <w:rFonts w:eastAsia="標楷體"/>
          <w:kern w:val="0"/>
        </w:rPr>
        <w:t>)</w:t>
      </w:r>
      <w:r w:rsidRPr="009A472E">
        <w:rPr>
          <w:rFonts w:eastAsia="標楷體"/>
          <w:kern w:val="0"/>
        </w:rPr>
        <w:t>、輕度或中度失能</w:t>
      </w:r>
      <w:r w:rsidRPr="009A472E">
        <w:rPr>
          <w:rFonts w:eastAsia="標楷體"/>
          <w:kern w:val="0"/>
        </w:rPr>
        <w:t>(</w:t>
      </w:r>
      <w:r w:rsidRPr="009A472E">
        <w:rPr>
          <w:rFonts w:eastAsia="標楷體"/>
          <w:kern w:val="0"/>
        </w:rPr>
        <w:t>智</w:t>
      </w:r>
      <w:r w:rsidRPr="009A472E">
        <w:rPr>
          <w:rFonts w:eastAsia="標楷體"/>
          <w:kern w:val="0"/>
        </w:rPr>
        <w:t>)</w:t>
      </w:r>
      <w:r w:rsidRPr="009A472E">
        <w:rPr>
          <w:rFonts w:eastAsia="標楷體"/>
          <w:kern w:val="0"/>
        </w:rPr>
        <w:t>之老人。並依老人失能程度之人數範圍提供照護方案。</w:t>
      </w:r>
    </w:p>
    <w:p w:rsidR="002B003C" w:rsidRPr="009A472E" w:rsidRDefault="002B003C" w:rsidP="00D83E25">
      <w:pPr>
        <w:widowControl/>
        <w:numPr>
          <w:ilvl w:val="0"/>
          <w:numId w:val="3"/>
        </w:numPr>
        <w:adjustRightInd w:val="0"/>
        <w:snapToGrid w:val="0"/>
        <w:ind w:left="709" w:rightChars="-10" w:right="-24"/>
        <w:rPr>
          <w:rFonts w:eastAsia="標楷體"/>
          <w:kern w:val="0"/>
        </w:rPr>
      </w:pPr>
      <w:r w:rsidRPr="009A472E">
        <w:rPr>
          <w:rFonts w:eastAsia="標楷體"/>
          <w:kern w:val="0"/>
        </w:rPr>
        <w:t>服務人數：每單位</w:t>
      </w:r>
      <w:r w:rsidRPr="009A472E">
        <w:rPr>
          <w:rFonts w:eastAsia="標楷體"/>
          <w:kern w:val="0"/>
        </w:rPr>
        <w:t>(</w:t>
      </w:r>
      <w:r w:rsidRPr="009A472E">
        <w:rPr>
          <w:rFonts w:eastAsia="標楷體"/>
          <w:kern w:val="0"/>
        </w:rPr>
        <w:t>期</w:t>
      </w:r>
      <w:r w:rsidRPr="009A472E">
        <w:rPr>
          <w:rFonts w:eastAsia="標楷體"/>
          <w:kern w:val="0"/>
        </w:rPr>
        <w:t>)</w:t>
      </w:r>
      <w:r w:rsidRPr="009A472E">
        <w:rPr>
          <w:rFonts w:eastAsia="標楷體"/>
          <w:kern w:val="0"/>
        </w:rPr>
        <w:t>人數範圍如上表，如服務對象為混合，仍以服務對象適合之方案安排。</w:t>
      </w:r>
    </w:p>
    <w:p w:rsidR="002B003C" w:rsidRPr="009A472E" w:rsidRDefault="002B003C" w:rsidP="00D83E25">
      <w:pPr>
        <w:widowControl/>
        <w:numPr>
          <w:ilvl w:val="0"/>
          <w:numId w:val="3"/>
        </w:numPr>
        <w:adjustRightInd w:val="0"/>
        <w:snapToGrid w:val="0"/>
        <w:ind w:left="709"/>
        <w:rPr>
          <w:rFonts w:eastAsia="標楷體"/>
          <w:kern w:val="0"/>
        </w:rPr>
      </w:pPr>
      <w:r w:rsidRPr="009A472E">
        <w:rPr>
          <w:rFonts w:eastAsia="標楷體"/>
          <w:kern w:val="0"/>
        </w:rPr>
        <w:t>支付標準：</w:t>
      </w:r>
      <w:r w:rsidRPr="009A472E">
        <w:rPr>
          <w:rFonts w:eastAsia="標楷體"/>
          <w:kern w:val="0"/>
        </w:rPr>
        <w:t>(</w:t>
      </w:r>
      <w:r w:rsidRPr="009A472E">
        <w:rPr>
          <w:rFonts w:eastAsia="標楷體"/>
          <w:kern w:val="0"/>
        </w:rPr>
        <w:t>核實支付</w:t>
      </w:r>
      <w:r w:rsidRPr="009A472E">
        <w:rPr>
          <w:rFonts w:eastAsia="標楷體"/>
          <w:kern w:val="0"/>
        </w:rPr>
        <w:t>)</w:t>
      </w:r>
    </w:p>
    <w:p w:rsidR="002B003C" w:rsidRPr="009A472E" w:rsidRDefault="002B003C" w:rsidP="00D83E25">
      <w:pPr>
        <w:widowControl/>
        <w:numPr>
          <w:ilvl w:val="0"/>
          <w:numId w:val="4"/>
        </w:numPr>
        <w:adjustRightInd w:val="0"/>
        <w:snapToGrid w:val="0"/>
        <w:ind w:left="938" w:hanging="459"/>
        <w:jc w:val="both"/>
        <w:rPr>
          <w:rFonts w:eastAsia="標楷體"/>
          <w:kern w:val="0"/>
        </w:rPr>
      </w:pPr>
      <w:r w:rsidRPr="009A472E">
        <w:rPr>
          <w:rFonts w:eastAsia="標楷體"/>
          <w:kern w:val="0"/>
        </w:rPr>
        <w:t>依個案服務提供支付額度基準。</w:t>
      </w:r>
    </w:p>
    <w:p w:rsidR="002B003C" w:rsidRPr="009A472E" w:rsidRDefault="002B003C" w:rsidP="00D83E25">
      <w:pPr>
        <w:widowControl/>
        <w:numPr>
          <w:ilvl w:val="0"/>
          <w:numId w:val="4"/>
        </w:numPr>
        <w:adjustRightInd w:val="0"/>
        <w:snapToGrid w:val="0"/>
        <w:ind w:left="938" w:hanging="459"/>
        <w:jc w:val="both"/>
        <w:rPr>
          <w:rFonts w:eastAsia="標楷體"/>
          <w:kern w:val="0"/>
        </w:rPr>
      </w:pPr>
      <w:r w:rsidRPr="009A472E">
        <w:rPr>
          <w:rFonts w:eastAsia="標楷體"/>
          <w:kern w:val="0"/>
        </w:rPr>
        <w:t>偏遠及山地、離島地區之特約單位，以</w:t>
      </w:r>
      <w:r w:rsidRPr="009A472E">
        <w:rPr>
          <w:rFonts w:eastAsia="標楷體"/>
          <w:kern w:val="0"/>
        </w:rPr>
        <w:t>2</w:t>
      </w:r>
      <w:r w:rsidRPr="009A472E">
        <w:rPr>
          <w:rFonts w:eastAsia="標楷體"/>
          <w:kern w:val="0"/>
        </w:rPr>
        <w:t>倍支付。偏遠及山地、離島地區為卑南鄉、鹿野鄉、東河鄉、長濱鄉、大武鄉、海端鄉、延平鄉、金峰鄉、達仁鄉、蘭嶼鄉及綠島鄉。一般地區為台東市、關山鎮、成功鎮、池上鄉、太麻里鄉。</w:t>
      </w:r>
    </w:p>
    <w:p w:rsidR="002B003C" w:rsidRPr="009A472E" w:rsidRDefault="002B003C" w:rsidP="00D83E25">
      <w:pPr>
        <w:widowControl/>
        <w:numPr>
          <w:ilvl w:val="0"/>
          <w:numId w:val="4"/>
        </w:numPr>
        <w:adjustRightInd w:val="0"/>
        <w:snapToGrid w:val="0"/>
        <w:ind w:left="938" w:hanging="459"/>
        <w:jc w:val="both"/>
        <w:rPr>
          <w:rFonts w:eastAsia="標楷體"/>
          <w:kern w:val="0"/>
        </w:rPr>
      </w:pPr>
      <w:r w:rsidRPr="009A472E">
        <w:rPr>
          <w:rFonts w:eastAsia="標楷體"/>
          <w:kern w:val="0"/>
        </w:rPr>
        <w:t>如為在家提供，支付額度以</w:t>
      </w:r>
      <w:r w:rsidRPr="009A472E">
        <w:rPr>
          <w:rFonts w:eastAsia="標楷體"/>
          <w:kern w:val="0"/>
        </w:rPr>
        <w:t>2</w:t>
      </w:r>
      <w:r w:rsidRPr="009A472E">
        <w:rPr>
          <w:rFonts w:eastAsia="標楷體"/>
          <w:kern w:val="0"/>
        </w:rPr>
        <w:t>小時計算</w:t>
      </w:r>
      <w:r w:rsidRPr="009A472E">
        <w:rPr>
          <w:rFonts w:eastAsia="標楷體"/>
          <w:kern w:val="0"/>
        </w:rPr>
        <w:t>(</w:t>
      </w:r>
      <w:r w:rsidRPr="009A472E">
        <w:rPr>
          <w:rFonts w:eastAsia="標楷體"/>
          <w:kern w:val="0"/>
        </w:rPr>
        <w:t>含交通時間</w:t>
      </w:r>
      <w:r w:rsidRPr="009A472E">
        <w:rPr>
          <w:rFonts w:eastAsia="標楷體"/>
          <w:kern w:val="0"/>
        </w:rPr>
        <w:t>)</w:t>
      </w:r>
      <w:r w:rsidRPr="009A472E">
        <w:rPr>
          <w:rFonts w:eastAsia="標楷體"/>
          <w:kern w:val="0"/>
        </w:rPr>
        <w:t>，服務提供至少</w:t>
      </w:r>
      <w:r w:rsidRPr="009A472E">
        <w:rPr>
          <w:rFonts w:eastAsia="標楷體"/>
          <w:kern w:val="0"/>
        </w:rPr>
        <w:t>1</w:t>
      </w:r>
      <w:r w:rsidRPr="009A472E">
        <w:rPr>
          <w:rFonts w:eastAsia="標楷體"/>
          <w:kern w:val="0"/>
        </w:rPr>
        <w:t>小時，並以使用健保居家復健與居家護理者為優先。倘若與居家服務重疊時，不得支領居家服務費用。</w:t>
      </w:r>
    </w:p>
    <w:p w:rsidR="002B003C" w:rsidRPr="0004538C" w:rsidRDefault="002B003C" w:rsidP="00D83E25">
      <w:pPr>
        <w:widowControl/>
        <w:numPr>
          <w:ilvl w:val="0"/>
          <w:numId w:val="3"/>
        </w:numPr>
        <w:adjustRightInd w:val="0"/>
        <w:snapToGrid w:val="0"/>
        <w:ind w:left="709"/>
        <w:rPr>
          <w:rFonts w:eastAsia="標楷體"/>
          <w:kern w:val="0"/>
        </w:rPr>
      </w:pPr>
      <w:r w:rsidRPr="009A472E">
        <w:rPr>
          <w:rFonts w:eastAsia="標楷體"/>
          <w:kern w:val="0"/>
        </w:rPr>
        <w:t>給付特約單位費用</w:t>
      </w:r>
      <w:r w:rsidRPr="009A472E">
        <w:rPr>
          <w:rFonts w:eastAsia="標楷體"/>
          <w:b/>
          <w:kern w:val="0"/>
        </w:rPr>
        <w:t>依服務對象及服務人數核實計算，如人數未達計畫規定之各服務對象及個案平均出席率未達</w:t>
      </w:r>
      <w:r w:rsidRPr="009A472E">
        <w:rPr>
          <w:rFonts w:eastAsia="標楷體"/>
          <w:b/>
          <w:kern w:val="0"/>
        </w:rPr>
        <w:t>90%</w:t>
      </w:r>
      <w:r w:rsidRPr="009A472E">
        <w:rPr>
          <w:rFonts w:eastAsia="標楷體"/>
          <w:b/>
          <w:kern w:val="0"/>
        </w:rPr>
        <w:t>者，則按比例折算</w:t>
      </w:r>
      <w:r w:rsidRPr="009A472E">
        <w:rPr>
          <w:rFonts w:eastAsia="標楷體"/>
          <w:kern w:val="0"/>
        </w:rPr>
        <w:t>：費用項目包含以下項目：</w:t>
      </w:r>
      <w:r w:rsidR="0004538C" w:rsidRPr="0004538C">
        <w:rPr>
          <w:rFonts w:eastAsia="標楷體" w:hint="eastAsia"/>
          <w:kern w:val="0"/>
        </w:rPr>
        <w:t>(1)</w:t>
      </w:r>
      <w:r w:rsidR="0004538C" w:rsidRPr="0004538C">
        <w:rPr>
          <w:rFonts w:eastAsia="標楷體" w:hint="eastAsia"/>
          <w:kern w:val="0"/>
        </w:rPr>
        <w:t>講師鐘點費</w:t>
      </w:r>
      <w:r w:rsidR="0004538C">
        <w:rPr>
          <w:rFonts w:eastAsia="標楷體" w:hint="eastAsia"/>
          <w:kern w:val="0"/>
        </w:rPr>
        <w:t>。</w:t>
      </w:r>
      <w:r w:rsidR="0004538C" w:rsidRPr="0004538C">
        <w:rPr>
          <w:rFonts w:eastAsia="標楷體" w:hint="eastAsia"/>
          <w:kern w:val="0"/>
        </w:rPr>
        <w:t>(2)</w:t>
      </w:r>
      <w:r w:rsidR="0004538C" w:rsidRPr="0004538C">
        <w:rPr>
          <w:rFonts w:eastAsia="標楷體"/>
          <w:kern w:val="0"/>
        </w:rPr>
        <w:t>業務費及管理費</w:t>
      </w:r>
      <w:r w:rsidR="0004538C">
        <w:rPr>
          <w:rFonts w:eastAsia="標楷體" w:hint="eastAsia"/>
          <w:kern w:val="0"/>
        </w:rPr>
        <w:t>。</w:t>
      </w:r>
    </w:p>
    <w:p w:rsidR="002B003C" w:rsidRPr="0004538C" w:rsidRDefault="002B003C" w:rsidP="00D83E25">
      <w:pPr>
        <w:widowControl/>
        <w:numPr>
          <w:ilvl w:val="0"/>
          <w:numId w:val="1"/>
        </w:numPr>
        <w:adjustRightInd w:val="0"/>
        <w:snapToGrid w:val="0"/>
        <w:ind w:left="709" w:hanging="709"/>
        <w:jc w:val="both"/>
        <w:rPr>
          <w:rFonts w:eastAsia="標楷體"/>
          <w:kern w:val="0"/>
        </w:rPr>
      </w:pPr>
      <w:r w:rsidRPr="009A472E">
        <w:rPr>
          <w:rFonts w:eastAsia="標楷體"/>
          <w:kern w:val="0"/>
        </w:rPr>
        <w:t>每</w:t>
      </w:r>
      <w:r w:rsidRPr="009A472E">
        <w:rPr>
          <w:rFonts w:eastAsia="標楷體"/>
          <w:kern w:val="0"/>
        </w:rPr>
        <w:t>3</w:t>
      </w:r>
      <w:r w:rsidRPr="009A472E">
        <w:rPr>
          <w:rFonts w:eastAsia="標楷體"/>
          <w:kern w:val="0"/>
        </w:rPr>
        <w:t>個月</w:t>
      </w:r>
      <w:r w:rsidRPr="009A472E">
        <w:rPr>
          <w:rFonts w:eastAsia="標楷體"/>
          <w:kern w:val="0"/>
        </w:rPr>
        <w:t>1</w:t>
      </w:r>
      <w:r w:rsidRPr="009A472E">
        <w:rPr>
          <w:rFonts w:eastAsia="標楷體"/>
          <w:kern w:val="0"/>
        </w:rPr>
        <w:t>期</w:t>
      </w:r>
      <w:r w:rsidR="0004538C">
        <w:rPr>
          <w:rFonts w:eastAsia="標楷體" w:hint="eastAsia"/>
          <w:kern w:val="0"/>
        </w:rPr>
        <w:t>，須執行</w:t>
      </w:r>
      <w:r w:rsidRPr="009A472E">
        <w:rPr>
          <w:rFonts w:eastAsia="標楷體"/>
          <w:kern w:val="0"/>
        </w:rPr>
        <w:t>前後成效測量，測量指標包括：個案出席率、個案介入功能維持或改善之成效及滿意度，作為第</w:t>
      </w:r>
      <w:r w:rsidRPr="009A472E">
        <w:rPr>
          <w:rFonts w:eastAsia="標楷體"/>
          <w:kern w:val="0"/>
        </w:rPr>
        <w:t>2</w:t>
      </w:r>
      <w:r w:rsidRPr="009A472E">
        <w:rPr>
          <w:rFonts w:eastAsia="標楷體"/>
          <w:kern w:val="0"/>
        </w:rPr>
        <w:t>年個案是否部分負擔，及特約單位是否繼續特約之參考。</w:t>
      </w:r>
    </w:p>
    <w:p w:rsidR="0004538C" w:rsidRPr="00E4592F" w:rsidRDefault="0004538C" w:rsidP="00D83E25">
      <w:pPr>
        <w:pStyle w:val="2"/>
        <w:numPr>
          <w:ilvl w:val="0"/>
          <w:numId w:val="7"/>
        </w:numPr>
        <w:adjustRightInd w:val="0"/>
        <w:spacing w:line="240" w:lineRule="auto"/>
        <w:ind w:left="709"/>
        <w:rPr>
          <w:rFonts w:ascii="Times New Roman" w:hAnsi="Times New Roman"/>
          <w:b/>
          <w:bCs/>
          <w:kern w:val="0"/>
          <w:szCs w:val="32"/>
        </w:rPr>
      </w:pPr>
      <w:r w:rsidRPr="00E4592F">
        <w:rPr>
          <w:rFonts w:ascii="Times New Roman" w:hAnsi="Times New Roman" w:hint="eastAsia"/>
          <w:b/>
          <w:bCs/>
          <w:kern w:val="0"/>
          <w:szCs w:val="32"/>
        </w:rPr>
        <w:t>特約單位申請及作業規範</w:t>
      </w:r>
    </w:p>
    <w:p w:rsidR="009A472E" w:rsidRPr="009A472E" w:rsidRDefault="009A472E" w:rsidP="00D83E25">
      <w:pPr>
        <w:widowControl/>
        <w:numPr>
          <w:ilvl w:val="0"/>
          <w:numId w:val="14"/>
        </w:numPr>
        <w:adjustRightInd w:val="0"/>
        <w:snapToGrid w:val="0"/>
        <w:ind w:left="709" w:hanging="709"/>
        <w:jc w:val="both"/>
        <w:rPr>
          <w:rFonts w:eastAsia="標楷體"/>
          <w:kern w:val="0"/>
        </w:rPr>
      </w:pPr>
      <w:r w:rsidRPr="009A472E">
        <w:rPr>
          <w:rFonts w:eastAsia="標楷體"/>
          <w:kern w:val="0"/>
        </w:rPr>
        <w:t>特約單位佈建原則：以本縣各鄉鎮特約一至二個服務據點為原則，其中以無資源的里或該據點無承作其他類似之服務方案者為優先，以達資源分布均衡性。</w:t>
      </w:r>
    </w:p>
    <w:p w:rsidR="009A472E" w:rsidRPr="009A472E" w:rsidRDefault="009A472E" w:rsidP="00D83E25">
      <w:pPr>
        <w:widowControl/>
        <w:numPr>
          <w:ilvl w:val="0"/>
          <w:numId w:val="14"/>
        </w:numPr>
        <w:adjustRightInd w:val="0"/>
        <w:snapToGrid w:val="0"/>
        <w:ind w:left="709" w:hanging="709"/>
        <w:jc w:val="both"/>
        <w:rPr>
          <w:rFonts w:eastAsia="標楷體"/>
          <w:kern w:val="0"/>
        </w:rPr>
      </w:pPr>
      <w:r w:rsidRPr="009A472E">
        <w:rPr>
          <w:rFonts w:eastAsia="標楷體"/>
          <w:kern w:val="0"/>
        </w:rPr>
        <w:t>特約單位申請及作業規範：</w:t>
      </w:r>
    </w:p>
    <w:p w:rsidR="009A472E" w:rsidRPr="009A472E" w:rsidRDefault="009A472E" w:rsidP="00D83E25">
      <w:pPr>
        <w:widowControl/>
        <w:numPr>
          <w:ilvl w:val="0"/>
          <w:numId w:val="15"/>
        </w:numPr>
        <w:adjustRightInd w:val="0"/>
        <w:snapToGrid w:val="0"/>
        <w:ind w:left="952" w:hanging="459"/>
        <w:jc w:val="both"/>
        <w:rPr>
          <w:rFonts w:eastAsia="標楷體"/>
          <w:kern w:val="0"/>
        </w:rPr>
      </w:pPr>
      <w:r w:rsidRPr="0004538C">
        <w:rPr>
          <w:rFonts w:eastAsia="標楷體"/>
          <w:kern w:val="0"/>
        </w:rPr>
        <w:t>申請資格：合法立案之醫事機構、長照服務機構</w:t>
      </w:r>
      <w:r w:rsidRPr="0004538C">
        <w:rPr>
          <w:rFonts w:eastAsia="標楷體"/>
          <w:kern w:val="0"/>
        </w:rPr>
        <w:t>(</w:t>
      </w:r>
      <w:r w:rsidRPr="0004538C">
        <w:rPr>
          <w:rFonts w:eastAsia="標楷體"/>
          <w:kern w:val="0"/>
        </w:rPr>
        <w:t>含居家式、社區式、機構式</w:t>
      </w:r>
      <w:r w:rsidRPr="0004538C">
        <w:rPr>
          <w:rFonts w:eastAsia="標楷體"/>
          <w:kern w:val="0"/>
        </w:rPr>
        <w:t>)</w:t>
      </w:r>
      <w:r w:rsidRPr="0004538C">
        <w:rPr>
          <w:rFonts w:eastAsia="標楷體"/>
          <w:kern w:val="0"/>
        </w:rPr>
        <w:t>、社區據點</w:t>
      </w:r>
      <w:r w:rsidRPr="0004538C">
        <w:rPr>
          <w:rFonts w:eastAsia="標楷體"/>
          <w:kern w:val="0"/>
        </w:rPr>
        <w:t>(</w:t>
      </w:r>
      <w:r w:rsidRPr="0004538C">
        <w:rPr>
          <w:rFonts w:eastAsia="標楷體"/>
          <w:kern w:val="0"/>
        </w:rPr>
        <w:t>如</w:t>
      </w:r>
      <w:r w:rsidRPr="0004538C">
        <w:rPr>
          <w:rFonts w:eastAsia="標楷體"/>
          <w:kern w:val="0"/>
        </w:rPr>
        <w:t>A</w:t>
      </w:r>
      <w:r w:rsidRPr="0004538C">
        <w:rPr>
          <w:rFonts w:eastAsia="標楷體"/>
          <w:kern w:val="0"/>
        </w:rPr>
        <w:t>、</w:t>
      </w:r>
      <w:r w:rsidRPr="0004538C">
        <w:rPr>
          <w:rFonts w:eastAsia="標楷體"/>
          <w:kern w:val="0"/>
        </w:rPr>
        <w:t>B</w:t>
      </w:r>
      <w:r w:rsidRPr="0004538C">
        <w:rPr>
          <w:rFonts w:eastAsia="標楷體"/>
          <w:kern w:val="0"/>
        </w:rPr>
        <w:t>、</w:t>
      </w:r>
      <w:r w:rsidRPr="0004538C">
        <w:rPr>
          <w:rFonts w:eastAsia="標楷體"/>
          <w:kern w:val="0"/>
        </w:rPr>
        <w:t>C</w:t>
      </w:r>
      <w:r w:rsidRPr="0004538C">
        <w:rPr>
          <w:rFonts w:eastAsia="標楷體"/>
          <w:kern w:val="0"/>
        </w:rPr>
        <w:t>級服務據點、社區關懷據點、部落社區健康營造中心及部落文化健康站等</w:t>
      </w:r>
      <w:r w:rsidRPr="0004538C">
        <w:rPr>
          <w:rFonts w:eastAsia="標楷體"/>
          <w:kern w:val="0"/>
        </w:rPr>
        <w:t>)</w:t>
      </w:r>
      <w:r w:rsidRPr="0004538C">
        <w:rPr>
          <w:rFonts w:eastAsia="標楷體"/>
          <w:kern w:val="0"/>
        </w:rPr>
        <w:t>、學協公會、社企團體及大專院校等。</w:t>
      </w:r>
    </w:p>
    <w:p w:rsidR="009A472E" w:rsidRPr="009A472E" w:rsidRDefault="009A472E" w:rsidP="00D83E25">
      <w:pPr>
        <w:widowControl/>
        <w:numPr>
          <w:ilvl w:val="0"/>
          <w:numId w:val="15"/>
        </w:numPr>
        <w:adjustRightInd w:val="0"/>
        <w:snapToGrid w:val="0"/>
        <w:ind w:left="952" w:hanging="459"/>
        <w:jc w:val="both"/>
        <w:rPr>
          <w:rFonts w:eastAsia="標楷體"/>
          <w:kern w:val="0"/>
        </w:rPr>
      </w:pPr>
      <w:r w:rsidRPr="0004538C">
        <w:rPr>
          <w:rFonts w:eastAsia="標楷體"/>
          <w:kern w:val="0"/>
        </w:rPr>
        <w:t>服務場地：前述特約單位提供服務地點須以社區為主。</w:t>
      </w:r>
    </w:p>
    <w:p w:rsidR="009A472E" w:rsidRPr="009A472E" w:rsidRDefault="009A472E" w:rsidP="00D83E25">
      <w:pPr>
        <w:widowControl/>
        <w:numPr>
          <w:ilvl w:val="0"/>
          <w:numId w:val="15"/>
        </w:numPr>
        <w:adjustRightInd w:val="0"/>
        <w:snapToGrid w:val="0"/>
        <w:ind w:left="952" w:hanging="459"/>
        <w:jc w:val="both"/>
        <w:rPr>
          <w:rFonts w:eastAsia="標楷體"/>
          <w:kern w:val="0"/>
        </w:rPr>
      </w:pPr>
      <w:r w:rsidRPr="0004538C">
        <w:rPr>
          <w:rFonts w:eastAsia="標楷體"/>
          <w:kern w:val="0"/>
        </w:rPr>
        <w:t>場地設置基本規範：以符合最基本安全考量為原則。</w:t>
      </w:r>
    </w:p>
    <w:p w:rsidR="009A472E" w:rsidRPr="009A472E" w:rsidRDefault="009A472E" w:rsidP="00D83E25">
      <w:pPr>
        <w:widowControl/>
        <w:numPr>
          <w:ilvl w:val="0"/>
          <w:numId w:val="14"/>
        </w:numPr>
        <w:adjustRightInd w:val="0"/>
        <w:snapToGrid w:val="0"/>
        <w:ind w:left="709" w:hanging="709"/>
        <w:jc w:val="both"/>
        <w:rPr>
          <w:rFonts w:eastAsia="標楷體"/>
          <w:kern w:val="0"/>
        </w:rPr>
      </w:pPr>
      <w:r w:rsidRPr="009A472E">
        <w:rPr>
          <w:rFonts w:eastAsia="標楷體"/>
          <w:kern w:val="0"/>
        </w:rPr>
        <w:t>特約單位申請</w:t>
      </w:r>
      <w:r w:rsidR="0004538C">
        <w:rPr>
          <w:rFonts w:eastAsia="標楷體" w:hint="eastAsia"/>
          <w:kern w:val="0"/>
        </w:rPr>
        <w:t>流程及</w:t>
      </w:r>
      <w:r w:rsidRPr="009A472E">
        <w:rPr>
          <w:rFonts w:eastAsia="標楷體"/>
          <w:kern w:val="0"/>
        </w:rPr>
        <w:t>方式：</w:t>
      </w:r>
      <w:r w:rsidR="0004538C" w:rsidRPr="0004538C">
        <w:rPr>
          <w:rFonts w:eastAsia="標楷體" w:hint="eastAsia"/>
          <w:kern w:val="0"/>
        </w:rPr>
        <w:t>計畫公告→申請特約單位提報計畫書→地方政府初審→審查委員審查→修正計劃書→審查委員複審通過→函報衛生福利部備查</w:t>
      </w:r>
      <w:r w:rsidR="00E4592F">
        <w:rPr>
          <w:rFonts w:eastAsia="標楷體" w:hint="eastAsia"/>
          <w:kern w:val="0"/>
        </w:rPr>
        <w:t>。</w:t>
      </w:r>
    </w:p>
    <w:p w:rsidR="009A472E" w:rsidRPr="00E4592F" w:rsidRDefault="009A472E" w:rsidP="00D83E25">
      <w:pPr>
        <w:widowControl/>
        <w:numPr>
          <w:ilvl w:val="0"/>
          <w:numId w:val="16"/>
        </w:numPr>
        <w:adjustRightInd w:val="0"/>
        <w:snapToGrid w:val="0"/>
        <w:ind w:left="952" w:hanging="459"/>
        <w:jc w:val="both"/>
        <w:rPr>
          <w:rFonts w:eastAsia="標楷體"/>
          <w:kern w:val="0"/>
        </w:rPr>
      </w:pPr>
      <w:r w:rsidRPr="00E4592F">
        <w:rPr>
          <w:rFonts w:eastAsia="標楷體"/>
          <w:kern w:val="0"/>
        </w:rPr>
        <w:t>符合中央公告特約單位申請資格者，向</w:t>
      </w:r>
      <w:r w:rsidR="0004538C" w:rsidRPr="00E4592F">
        <w:rPr>
          <w:rFonts w:eastAsia="標楷體"/>
          <w:kern w:val="0"/>
        </w:rPr>
        <w:t>台東縣</w:t>
      </w:r>
      <w:r w:rsidR="0004538C" w:rsidRPr="00E4592F">
        <w:rPr>
          <w:rFonts w:eastAsia="標楷體" w:hint="eastAsia"/>
          <w:kern w:val="0"/>
        </w:rPr>
        <w:t>衛生局</w:t>
      </w:r>
      <w:r w:rsidRPr="00E4592F">
        <w:rPr>
          <w:rFonts w:eastAsia="標楷體"/>
          <w:kern w:val="0"/>
        </w:rPr>
        <w:t>提出申請</w:t>
      </w:r>
      <w:r w:rsidR="0004538C" w:rsidRPr="00E4592F">
        <w:rPr>
          <w:rFonts w:eastAsia="標楷體" w:hint="eastAsia"/>
          <w:kern w:val="0"/>
        </w:rPr>
        <w:t>，計劃書須包含申請資格證</w:t>
      </w:r>
      <w:r w:rsidR="00BC3B9F">
        <w:rPr>
          <w:rFonts w:eastAsia="標楷體" w:hint="eastAsia"/>
          <w:kern w:val="0"/>
        </w:rPr>
        <w:t>明</w:t>
      </w:r>
      <w:r w:rsidR="0004538C" w:rsidRPr="00E4592F">
        <w:rPr>
          <w:rFonts w:eastAsia="標楷體" w:hint="eastAsia"/>
          <w:kern w:val="0"/>
        </w:rPr>
        <w:t>、場地設置基本規範證明</w:t>
      </w:r>
      <w:r w:rsidR="0004538C" w:rsidRPr="00E4592F">
        <w:rPr>
          <w:rFonts w:eastAsia="標楷體" w:hint="eastAsia"/>
          <w:kern w:val="0"/>
        </w:rPr>
        <w:t>(</w:t>
      </w:r>
      <w:r w:rsidR="0004538C" w:rsidRPr="00E4592F">
        <w:rPr>
          <w:rFonts w:eastAsia="標楷體" w:hint="eastAsia"/>
          <w:kern w:val="0"/>
        </w:rPr>
        <w:t>合法立案、具無障礙空間為佳、地下樓層或</w:t>
      </w:r>
      <w:r w:rsidR="0004538C" w:rsidRPr="00E4592F">
        <w:rPr>
          <w:rFonts w:eastAsia="標楷體" w:hint="eastAsia"/>
          <w:kern w:val="0"/>
        </w:rPr>
        <w:t>2</w:t>
      </w:r>
      <w:r w:rsidR="0004538C" w:rsidRPr="00E4592F">
        <w:rPr>
          <w:rFonts w:eastAsia="標楷體" w:hint="eastAsia"/>
          <w:kern w:val="0"/>
        </w:rPr>
        <w:t>樓以上者需備有電梯、投保公共意外責任險、訂定緊急事件處理流程。</w:t>
      </w:r>
      <w:r w:rsidR="0004538C" w:rsidRPr="00E4592F">
        <w:rPr>
          <w:rFonts w:eastAsia="標楷體" w:hint="eastAsia"/>
          <w:kern w:val="0"/>
        </w:rPr>
        <w:t>)</w:t>
      </w:r>
      <w:r w:rsidR="0004538C" w:rsidRPr="00E4592F">
        <w:rPr>
          <w:rFonts w:eastAsia="標楷體" w:hint="eastAsia"/>
          <w:kern w:val="0"/>
        </w:rPr>
        <w:t>、相關作業規範</w:t>
      </w:r>
      <w:r w:rsidR="0004538C" w:rsidRPr="00E4592F">
        <w:rPr>
          <w:rFonts w:eastAsia="標楷體" w:hint="eastAsia"/>
          <w:kern w:val="0"/>
        </w:rPr>
        <w:t>(</w:t>
      </w:r>
      <w:r w:rsidR="00D83E25">
        <w:rPr>
          <w:rFonts w:eastAsia="標楷體" w:hint="eastAsia"/>
          <w:kern w:val="0"/>
        </w:rPr>
        <w:t>個案服務流程</w:t>
      </w:r>
      <w:r w:rsidR="0004538C" w:rsidRPr="00E4592F">
        <w:rPr>
          <w:rFonts w:eastAsia="標楷體" w:hint="eastAsia"/>
          <w:kern w:val="0"/>
        </w:rPr>
        <w:t>、計畫管理、效果量測、</w:t>
      </w:r>
      <w:r w:rsidR="007109FA">
        <w:rPr>
          <w:rFonts w:eastAsia="標楷體" w:hint="eastAsia"/>
          <w:kern w:val="0"/>
        </w:rPr>
        <w:t>符合公告之專業師資、指導員及協助員</w:t>
      </w:r>
      <w:r w:rsidR="0004538C" w:rsidRPr="00E4592F">
        <w:rPr>
          <w:rFonts w:eastAsia="標楷體" w:hint="eastAsia"/>
          <w:kern w:val="0"/>
        </w:rPr>
        <w:t>)</w:t>
      </w:r>
      <w:r w:rsidRPr="00E4592F">
        <w:rPr>
          <w:rFonts w:eastAsia="標楷體"/>
          <w:kern w:val="0"/>
        </w:rPr>
        <w:t>。</w:t>
      </w:r>
    </w:p>
    <w:p w:rsidR="009A472E" w:rsidRPr="00E4592F" w:rsidRDefault="0004538C" w:rsidP="00D83E25">
      <w:pPr>
        <w:widowControl/>
        <w:numPr>
          <w:ilvl w:val="0"/>
          <w:numId w:val="16"/>
        </w:numPr>
        <w:adjustRightInd w:val="0"/>
        <w:snapToGrid w:val="0"/>
        <w:ind w:left="952" w:hanging="459"/>
        <w:jc w:val="both"/>
        <w:rPr>
          <w:rFonts w:eastAsia="標楷體"/>
          <w:kern w:val="0"/>
        </w:rPr>
      </w:pPr>
      <w:r w:rsidRPr="00E4592F">
        <w:rPr>
          <w:rFonts w:eastAsia="標楷體" w:hint="eastAsia"/>
          <w:kern w:val="0"/>
        </w:rPr>
        <w:t>地方政府</w:t>
      </w:r>
      <w:r w:rsidR="009A472E" w:rsidRPr="00E4592F">
        <w:rPr>
          <w:rFonts w:eastAsia="標楷體"/>
          <w:kern w:val="0"/>
        </w:rPr>
        <w:t>依中央公告之特約單位相關設置與作業規範審核與辦理特約。</w:t>
      </w:r>
    </w:p>
    <w:p w:rsidR="00AC39ED" w:rsidRDefault="009A472E" w:rsidP="00D83E25">
      <w:pPr>
        <w:widowControl/>
        <w:numPr>
          <w:ilvl w:val="0"/>
          <w:numId w:val="16"/>
        </w:numPr>
        <w:adjustRightInd w:val="0"/>
        <w:snapToGrid w:val="0"/>
        <w:ind w:left="952" w:hanging="459"/>
        <w:jc w:val="both"/>
        <w:rPr>
          <w:rFonts w:eastAsia="標楷體"/>
          <w:kern w:val="0"/>
        </w:rPr>
      </w:pPr>
      <w:r w:rsidRPr="00E4592F">
        <w:rPr>
          <w:rFonts w:eastAsia="標楷體"/>
          <w:kern w:val="0"/>
        </w:rPr>
        <w:t>特約單位依中央公告之照護方案及師資人才，以承辦社區衰弱或輕、中度失能</w:t>
      </w:r>
      <w:r w:rsidRPr="00E4592F">
        <w:rPr>
          <w:rFonts w:eastAsia="標楷體"/>
          <w:kern w:val="0"/>
        </w:rPr>
        <w:t>(</w:t>
      </w:r>
      <w:r w:rsidRPr="00E4592F">
        <w:rPr>
          <w:rFonts w:eastAsia="標楷體"/>
          <w:kern w:val="0"/>
        </w:rPr>
        <w:t>智</w:t>
      </w:r>
      <w:r w:rsidRPr="00E4592F">
        <w:rPr>
          <w:rFonts w:eastAsia="標楷體"/>
          <w:kern w:val="0"/>
        </w:rPr>
        <w:t>)</w:t>
      </w:r>
      <w:r w:rsidRPr="00E4592F">
        <w:rPr>
          <w:rFonts w:eastAsia="標楷體"/>
          <w:kern w:val="0"/>
        </w:rPr>
        <w:t>長者需求，擇適合方案導入，需要時得與照管中心協調安排。</w:t>
      </w:r>
    </w:p>
    <w:p w:rsidR="00B05D79" w:rsidRPr="00B05D79" w:rsidRDefault="00B05D79" w:rsidP="00B05D79">
      <w:pPr>
        <w:pStyle w:val="2"/>
        <w:numPr>
          <w:ilvl w:val="0"/>
          <w:numId w:val="7"/>
        </w:numPr>
        <w:adjustRightInd w:val="0"/>
        <w:spacing w:line="240" w:lineRule="auto"/>
        <w:ind w:left="709"/>
        <w:rPr>
          <w:rFonts w:ascii="Times New Roman" w:hAnsi="Times New Roman"/>
          <w:b/>
          <w:bCs/>
          <w:kern w:val="0"/>
          <w:szCs w:val="32"/>
        </w:rPr>
      </w:pPr>
      <w:r>
        <w:rPr>
          <w:rFonts w:ascii="Times New Roman" w:hAnsi="Times New Roman" w:hint="eastAsia"/>
          <w:b/>
          <w:bCs/>
          <w:kern w:val="0"/>
          <w:szCs w:val="32"/>
        </w:rPr>
        <w:lastRenderedPageBreak/>
        <w:t>業務洽詢：郭雨菁小姐</w:t>
      </w:r>
      <w:r>
        <w:rPr>
          <w:rFonts w:ascii="Times New Roman" w:hAnsi="Times New Roman" w:hint="eastAsia"/>
          <w:b/>
          <w:bCs/>
          <w:kern w:val="0"/>
          <w:szCs w:val="32"/>
        </w:rPr>
        <w:t>(089)331-171#266</w:t>
      </w:r>
      <w:bookmarkStart w:id="0" w:name="_GoBack"/>
      <w:bookmarkEnd w:id="0"/>
    </w:p>
    <w:sectPr w:rsidR="00B05D79" w:rsidRPr="00B05D79" w:rsidSect="002B003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EC9" w:rsidRDefault="00CE1EC9" w:rsidP="00D27D9D">
      <w:r>
        <w:separator/>
      </w:r>
    </w:p>
  </w:endnote>
  <w:endnote w:type="continuationSeparator" w:id="0">
    <w:p w:rsidR="00CE1EC9" w:rsidRDefault="00CE1EC9" w:rsidP="00D27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EC9" w:rsidRDefault="00CE1EC9" w:rsidP="00D27D9D">
      <w:r>
        <w:separator/>
      </w:r>
    </w:p>
  </w:footnote>
  <w:footnote w:type="continuationSeparator" w:id="0">
    <w:p w:rsidR="00CE1EC9" w:rsidRDefault="00CE1EC9" w:rsidP="00D27D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70E8A"/>
    <w:multiLevelType w:val="hybridMultilevel"/>
    <w:tmpl w:val="09348FC4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7CF1791"/>
    <w:multiLevelType w:val="hybridMultilevel"/>
    <w:tmpl w:val="03AE8E70"/>
    <w:lvl w:ilvl="0" w:tplc="B97436F2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1A097CB3"/>
    <w:multiLevelType w:val="hybridMultilevel"/>
    <w:tmpl w:val="FA82E29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BD45981"/>
    <w:multiLevelType w:val="hybridMultilevel"/>
    <w:tmpl w:val="FA82E29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C8D0B86"/>
    <w:multiLevelType w:val="hybridMultilevel"/>
    <w:tmpl w:val="A15AA070"/>
    <w:lvl w:ilvl="0" w:tplc="C3566510">
      <w:start w:val="1"/>
      <w:numFmt w:val="ideographLegalTraditional"/>
      <w:lvlText w:val="%1、"/>
      <w:lvlJc w:val="left"/>
      <w:pPr>
        <w:ind w:left="125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9" w:hanging="480"/>
      </w:pPr>
    </w:lvl>
    <w:lvl w:ilvl="2" w:tplc="0409001B" w:tentative="1">
      <w:start w:val="1"/>
      <w:numFmt w:val="lowerRoman"/>
      <w:lvlText w:val="%3."/>
      <w:lvlJc w:val="right"/>
      <w:pPr>
        <w:ind w:left="1979" w:hanging="480"/>
      </w:pPr>
    </w:lvl>
    <w:lvl w:ilvl="3" w:tplc="0409000F" w:tentative="1">
      <w:start w:val="1"/>
      <w:numFmt w:val="decimal"/>
      <w:lvlText w:val="%4."/>
      <w:lvlJc w:val="left"/>
      <w:pPr>
        <w:ind w:left="24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9" w:hanging="480"/>
      </w:pPr>
    </w:lvl>
    <w:lvl w:ilvl="5" w:tplc="0409001B" w:tentative="1">
      <w:start w:val="1"/>
      <w:numFmt w:val="lowerRoman"/>
      <w:lvlText w:val="%6."/>
      <w:lvlJc w:val="right"/>
      <w:pPr>
        <w:ind w:left="3419" w:hanging="480"/>
      </w:pPr>
    </w:lvl>
    <w:lvl w:ilvl="6" w:tplc="0409000F" w:tentative="1">
      <w:start w:val="1"/>
      <w:numFmt w:val="decimal"/>
      <w:lvlText w:val="%7."/>
      <w:lvlJc w:val="left"/>
      <w:pPr>
        <w:ind w:left="38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9" w:hanging="480"/>
      </w:pPr>
    </w:lvl>
    <w:lvl w:ilvl="8" w:tplc="0409001B" w:tentative="1">
      <w:start w:val="1"/>
      <w:numFmt w:val="lowerRoman"/>
      <w:lvlText w:val="%9."/>
      <w:lvlJc w:val="right"/>
      <w:pPr>
        <w:ind w:left="4859" w:hanging="480"/>
      </w:pPr>
    </w:lvl>
  </w:abstractNum>
  <w:abstractNum w:abstractNumId="5" w15:restartNumberingAfterBreak="0">
    <w:nsid w:val="1EBA7782"/>
    <w:multiLevelType w:val="hybridMultilevel"/>
    <w:tmpl w:val="EC6438DE"/>
    <w:lvl w:ilvl="0" w:tplc="04090015">
      <w:start w:val="1"/>
      <w:numFmt w:val="taiwaneseCountingThousand"/>
      <w:lvlText w:val="%1、"/>
      <w:lvlJc w:val="left"/>
      <w:pPr>
        <w:ind w:left="173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19" w:hanging="480"/>
      </w:pPr>
    </w:lvl>
    <w:lvl w:ilvl="2" w:tplc="0409001B" w:tentative="1">
      <w:start w:val="1"/>
      <w:numFmt w:val="lowerRoman"/>
      <w:lvlText w:val="%3."/>
      <w:lvlJc w:val="right"/>
      <w:pPr>
        <w:ind w:left="2699" w:hanging="480"/>
      </w:pPr>
    </w:lvl>
    <w:lvl w:ilvl="3" w:tplc="0409000F" w:tentative="1">
      <w:start w:val="1"/>
      <w:numFmt w:val="decimal"/>
      <w:lvlText w:val="%4."/>
      <w:lvlJc w:val="left"/>
      <w:pPr>
        <w:ind w:left="31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59" w:hanging="480"/>
      </w:pPr>
    </w:lvl>
    <w:lvl w:ilvl="5" w:tplc="0409001B" w:tentative="1">
      <w:start w:val="1"/>
      <w:numFmt w:val="lowerRoman"/>
      <w:lvlText w:val="%6."/>
      <w:lvlJc w:val="right"/>
      <w:pPr>
        <w:ind w:left="4139" w:hanging="480"/>
      </w:pPr>
    </w:lvl>
    <w:lvl w:ilvl="6" w:tplc="0409000F" w:tentative="1">
      <w:start w:val="1"/>
      <w:numFmt w:val="decimal"/>
      <w:lvlText w:val="%7."/>
      <w:lvlJc w:val="left"/>
      <w:pPr>
        <w:ind w:left="46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99" w:hanging="480"/>
      </w:pPr>
    </w:lvl>
    <w:lvl w:ilvl="8" w:tplc="0409001B" w:tentative="1">
      <w:start w:val="1"/>
      <w:numFmt w:val="lowerRoman"/>
      <w:lvlText w:val="%9."/>
      <w:lvlJc w:val="right"/>
      <w:pPr>
        <w:ind w:left="5579" w:hanging="480"/>
      </w:pPr>
    </w:lvl>
  </w:abstractNum>
  <w:abstractNum w:abstractNumId="6" w15:restartNumberingAfterBreak="0">
    <w:nsid w:val="202E32C0"/>
    <w:multiLevelType w:val="hybridMultilevel"/>
    <w:tmpl w:val="CD2829EC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2A37C6D"/>
    <w:multiLevelType w:val="hybridMultilevel"/>
    <w:tmpl w:val="BC020D64"/>
    <w:lvl w:ilvl="0" w:tplc="04090011">
      <w:start w:val="1"/>
      <w:numFmt w:val="upperLetter"/>
      <w:lvlText w:val="%1."/>
      <w:lvlJc w:val="left"/>
      <w:pPr>
        <w:ind w:left="23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8" w15:restartNumberingAfterBreak="0">
    <w:nsid w:val="243B1F3F"/>
    <w:multiLevelType w:val="hybridMultilevel"/>
    <w:tmpl w:val="BC020D64"/>
    <w:lvl w:ilvl="0" w:tplc="04090011">
      <w:start w:val="1"/>
      <w:numFmt w:val="upperLetter"/>
      <w:lvlText w:val="%1."/>
      <w:lvlJc w:val="left"/>
      <w:pPr>
        <w:ind w:left="23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9" w15:restartNumberingAfterBreak="0">
    <w:nsid w:val="3C5416E0"/>
    <w:multiLevelType w:val="hybridMultilevel"/>
    <w:tmpl w:val="03AE8E70"/>
    <w:lvl w:ilvl="0" w:tplc="B97436F2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3DFC201A"/>
    <w:multiLevelType w:val="hybridMultilevel"/>
    <w:tmpl w:val="7E1673D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 w15:restartNumberingAfterBreak="0">
    <w:nsid w:val="4C935F56"/>
    <w:multiLevelType w:val="hybridMultilevel"/>
    <w:tmpl w:val="03AE8E70"/>
    <w:lvl w:ilvl="0" w:tplc="B97436F2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 w15:restartNumberingAfterBreak="0">
    <w:nsid w:val="5B365FE3"/>
    <w:multiLevelType w:val="hybridMultilevel"/>
    <w:tmpl w:val="03AE8E70"/>
    <w:lvl w:ilvl="0" w:tplc="B97436F2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 w15:restartNumberingAfterBreak="0">
    <w:nsid w:val="5B6C043B"/>
    <w:multiLevelType w:val="hybridMultilevel"/>
    <w:tmpl w:val="1048DA50"/>
    <w:lvl w:ilvl="0" w:tplc="A4D62F52">
      <w:start w:val="1"/>
      <w:numFmt w:val="decimal"/>
      <w:lvlText w:val="(%1)"/>
      <w:lvlJc w:val="left"/>
      <w:pPr>
        <w:ind w:left="130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88" w:hanging="480"/>
      </w:pPr>
    </w:lvl>
    <w:lvl w:ilvl="2" w:tplc="0409001B" w:tentative="1">
      <w:start w:val="1"/>
      <w:numFmt w:val="lowerRoman"/>
      <w:lvlText w:val="%3."/>
      <w:lvlJc w:val="right"/>
      <w:pPr>
        <w:ind w:left="2268" w:hanging="480"/>
      </w:pPr>
    </w:lvl>
    <w:lvl w:ilvl="3" w:tplc="0409000F" w:tentative="1">
      <w:start w:val="1"/>
      <w:numFmt w:val="decimal"/>
      <w:lvlText w:val="%4."/>
      <w:lvlJc w:val="left"/>
      <w:pPr>
        <w:ind w:left="27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8" w:hanging="480"/>
      </w:pPr>
    </w:lvl>
    <w:lvl w:ilvl="5" w:tplc="0409001B" w:tentative="1">
      <w:start w:val="1"/>
      <w:numFmt w:val="lowerRoman"/>
      <w:lvlText w:val="%6."/>
      <w:lvlJc w:val="right"/>
      <w:pPr>
        <w:ind w:left="3708" w:hanging="480"/>
      </w:pPr>
    </w:lvl>
    <w:lvl w:ilvl="6" w:tplc="0409000F" w:tentative="1">
      <w:start w:val="1"/>
      <w:numFmt w:val="decimal"/>
      <w:lvlText w:val="%7."/>
      <w:lvlJc w:val="left"/>
      <w:pPr>
        <w:ind w:left="41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8" w:hanging="480"/>
      </w:pPr>
    </w:lvl>
    <w:lvl w:ilvl="8" w:tplc="0409001B" w:tentative="1">
      <w:start w:val="1"/>
      <w:numFmt w:val="lowerRoman"/>
      <w:lvlText w:val="%9."/>
      <w:lvlJc w:val="right"/>
      <w:pPr>
        <w:ind w:left="5148" w:hanging="480"/>
      </w:pPr>
    </w:lvl>
  </w:abstractNum>
  <w:abstractNum w:abstractNumId="14" w15:restartNumberingAfterBreak="0">
    <w:nsid w:val="709308FC"/>
    <w:multiLevelType w:val="hybridMultilevel"/>
    <w:tmpl w:val="D2083694"/>
    <w:lvl w:ilvl="0" w:tplc="AD5045FA">
      <w:start w:val="1"/>
      <w:numFmt w:val="lowerLetter"/>
      <w:lvlText w:val="%1."/>
      <w:lvlJc w:val="left"/>
      <w:pPr>
        <w:ind w:left="17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5" w15:restartNumberingAfterBreak="0">
    <w:nsid w:val="721E2F76"/>
    <w:multiLevelType w:val="hybridMultilevel"/>
    <w:tmpl w:val="773A718C"/>
    <w:lvl w:ilvl="0" w:tplc="B97436F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1"/>
  </w:num>
  <w:num w:numId="5">
    <w:abstractNumId w:val="9"/>
  </w:num>
  <w:num w:numId="6">
    <w:abstractNumId w:val="14"/>
  </w:num>
  <w:num w:numId="7">
    <w:abstractNumId w:val="4"/>
  </w:num>
  <w:num w:numId="8">
    <w:abstractNumId w:val="5"/>
  </w:num>
  <w:num w:numId="9">
    <w:abstractNumId w:val="10"/>
  </w:num>
  <w:num w:numId="10">
    <w:abstractNumId w:val="15"/>
  </w:num>
  <w:num w:numId="11">
    <w:abstractNumId w:val="8"/>
  </w:num>
  <w:num w:numId="12">
    <w:abstractNumId w:val="7"/>
  </w:num>
  <w:num w:numId="13">
    <w:abstractNumId w:val="13"/>
  </w:num>
  <w:num w:numId="14">
    <w:abstractNumId w:val="2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E9C"/>
    <w:rsid w:val="0004538C"/>
    <w:rsid w:val="00083A22"/>
    <w:rsid w:val="000D2FB4"/>
    <w:rsid w:val="002B003C"/>
    <w:rsid w:val="00432E9C"/>
    <w:rsid w:val="004F6506"/>
    <w:rsid w:val="00611D8E"/>
    <w:rsid w:val="007109FA"/>
    <w:rsid w:val="007E6D20"/>
    <w:rsid w:val="009A472E"/>
    <w:rsid w:val="00AC39ED"/>
    <w:rsid w:val="00AF5818"/>
    <w:rsid w:val="00B05D79"/>
    <w:rsid w:val="00B32819"/>
    <w:rsid w:val="00BC3B9F"/>
    <w:rsid w:val="00CE1EC9"/>
    <w:rsid w:val="00CF0CD9"/>
    <w:rsid w:val="00CF6616"/>
    <w:rsid w:val="00D27D9D"/>
    <w:rsid w:val="00D800D4"/>
    <w:rsid w:val="00D83E25"/>
    <w:rsid w:val="00E41A5A"/>
    <w:rsid w:val="00E4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EFF6B6"/>
  <w15:chartTrackingRefBased/>
  <w15:docId w15:val="{64231DA2-190C-41E5-B28E-99F748277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E9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432E9C"/>
    <w:pPr>
      <w:widowControl/>
      <w:tabs>
        <w:tab w:val="left" w:pos="480"/>
      </w:tabs>
      <w:snapToGrid w:val="0"/>
      <w:spacing w:line="360" w:lineRule="auto"/>
      <w:ind w:left="540"/>
    </w:pPr>
    <w:rPr>
      <w:rFonts w:ascii="標楷體" w:eastAsia="標楷體" w:hAnsi="標楷體"/>
      <w:sz w:val="28"/>
    </w:rPr>
  </w:style>
  <w:style w:type="character" w:customStyle="1" w:styleId="20">
    <w:name w:val="本文縮排 2 字元"/>
    <w:basedOn w:val="a0"/>
    <w:link w:val="2"/>
    <w:semiHidden/>
    <w:rsid w:val="00432E9C"/>
    <w:rPr>
      <w:rFonts w:ascii="標楷體" w:eastAsia="標楷體" w:hAnsi="標楷體" w:cs="Times New Roman"/>
      <w:sz w:val="28"/>
      <w:szCs w:val="24"/>
    </w:rPr>
  </w:style>
  <w:style w:type="paragraph" w:styleId="a3">
    <w:name w:val="header"/>
    <w:basedOn w:val="a"/>
    <w:link w:val="a4"/>
    <w:uiPriority w:val="99"/>
    <w:unhideWhenUsed/>
    <w:rsid w:val="00D27D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7D9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7D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7D9D"/>
    <w:rPr>
      <w:rFonts w:ascii="Times New Roman" w:eastAsia="新細明體" w:hAnsi="Times New Roman" w:cs="Times New Roman"/>
      <w:sz w:val="20"/>
      <w:szCs w:val="20"/>
    </w:rPr>
  </w:style>
  <w:style w:type="paragraph" w:styleId="a7">
    <w:name w:val="Body Text"/>
    <w:basedOn w:val="a"/>
    <w:link w:val="a8"/>
    <w:uiPriority w:val="99"/>
    <w:semiHidden/>
    <w:unhideWhenUsed/>
    <w:rsid w:val="009A472E"/>
    <w:pPr>
      <w:spacing w:after="120"/>
    </w:pPr>
  </w:style>
  <w:style w:type="character" w:customStyle="1" w:styleId="a8">
    <w:name w:val="本文 字元"/>
    <w:basedOn w:val="a0"/>
    <w:link w:val="a7"/>
    <w:uiPriority w:val="99"/>
    <w:semiHidden/>
    <w:rsid w:val="009A472E"/>
    <w:rPr>
      <w:rFonts w:ascii="Times New Roman" w:eastAsia="新細明體" w:hAnsi="Times New Roman" w:cs="Times New Roman"/>
      <w:szCs w:val="24"/>
    </w:rPr>
  </w:style>
  <w:style w:type="paragraph" w:styleId="a9">
    <w:name w:val="List Paragraph"/>
    <w:basedOn w:val="a"/>
    <w:uiPriority w:val="34"/>
    <w:qFormat/>
    <w:rsid w:val="009A472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0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15</cp:revision>
  <dcterms:created xsi:type="dcterms:W3CDTF">2017-10-18T08:18:00Z</dcterms:created>
  <dcterms:modified xsi:type="dcterms:W3CDTF">2017-11-14T09:05:00Z</dcterms:modified>
</cp:coreProperties>
</file>